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421DC" w14:textId="77777777" w:rsidR="0008009F" w:rsidRPr="0008009F" w:rsidRDefault="0008009F" w:rsidP="0008009F">
      <w:pPr>
        <w:pStyle w:val="Heading2"/>
        <w:tabs>
          <w:tab w:val="left" w:pos="720"/>
        </w:tabs>
        <w:jc w:val="right"/>
        <w:rPr>
          <w:rFonts w:cs="Arial"/>
          <w:b/>
          <w:bCs/>
          <w:u w:val="single"/>
          <w:lang w:val="en-GB" w:eastAsia="en-US"/>
        </w:rPr>
      </w:pPr>
      <w:r w:rsidRPr="0008009F">
        <w:rPr>
          <w:rFonts w:cs="Arial"/>
          <w:b/>
          <w:bCs/>
          <w:u w:val="single"/>
          <w:lang w:eastAsia="en-US"/>
        </w:rPr>
        <w:t xml:space="preserve">SCHEDULE </w:t>
      </w:r>
      <w:r>
        <w:rPr>
          <w:rFonts w:cs="Arial"/>
          <w:b/>
          <w:bCs/>
          <w:u w:val="single"/>
          <w:lang w:eastAsia="en-US"/>
        </w:rPr>
        <w:t>1</w:t>
      </w:r>
      <w:r w:rsidR="005E5D51">
        <w:rPr>
          <w:rFonts w:cs="Arial"/>
          <w:b/>
          <w:bCs/>
          <w:u w:val="single"/>
          <w:lang w:eastAsia="en-US"/>
        </w:rPr>
        <w:t>2</w:t>
      </w:r>
      <w:r w:rsidRPr="0008009F">
        <w:rPr>
          <w:rFonts w:cs="Arial"/>
          <w:b/>
          <w:bCs/>
          <w:u w:val="single"/>
          <w:lang w:eastAsia="en-US"/>
        </w:rPr>
        <w:t xml:space="preserve"> TO SC2</w:t>
      </w:r>
    </w:p>
    <w:p w14:paraId="54C3F3ED" w14:textId="77777777" w:rsidR="0008009F" w:rsidRPr="0008009F" w:rsidRDefault="0008009F" w:rsidP="0008009F">
      <w:pPr>
        <w:jc w:val="right"/>
        <w:rPr>
          <w:rFonts w:ascii="Arial" w:hAnsi="Arial" w:cs="Arial"/>
          <w:b/>
          <w:sz w:val="22"/>
          <w:szCs w:val="22"/>
          <w:u w:val="single"/>
        </w:rPr>
      </w:pPr>
      <w:r w:rsidRPr="0008009F">
        <w:rPr>
          <w:rFonts w:ascii="Arial" w:hAnsi="Arial" w:cs="Arial"/>
          <w:sz w:val="22"/>
          <w:szCs w:val="22"/>
        </w:rPr>
        <w:tab/>
      </w:r>
      <w:r w:rsidRPr="0008009F">
        <w:rPr>
          <w:rFonts w:ascii="Arial" w:hAnsi="Arial" w:cs="Arial"/>
          <w:sz w:val="22"/>
          <w:szCs w:val="22"/>
        </w:rPr>
        <w:tab/>
      </w:r>
      <w:r w:rsidRPr="0008009F">
        <w:rPr>
          <w:rFonts w:ascii="Arial" w:hAnsi="Arial" w:cs="Arial"/>
          <w:sz w:val="22"/>
          <w:szCs w:val="22"/>
        </w:rPr>
        <w:tab/>
      </w:r>
      <w:r w:rsidRPr="0008009F">
        <w:rPr>
          <w:rFonts w:ascii="Arial" w:hAnsi="Arial" w:cs="Arial"/>
          <w:sz w:val="22"/>
          <w:szCs w:val="22"/>
        </w:rPr>
        <w:tab/>
      </w:r>
      <w:r w:rsidRPr="0008009F">
        <w:rPr>
          <w:rFonts w:ascii="Arial" w:hAnsi="Arial" w:cs="Arial"/>
          <w:sz w:val="22"/>
          <w:szCs w:val="22"/>
        </w:rPr>
        <w:tab/>
      </w:r>
      <w:r w:rsidRPr="0008009F">
        <w:rPr>
          <w:rFonts w:ascii="Arial" w:hAnsi="Arial" w:cs="Arial"/>
          <w:sz w:val="22"/>
          <w:szCs w:val="22"/>
        </w:rPr>
        <w:tab/>
      </w:r>
      <w:r w:rsidRPr="0008009F">
        <w:rPr>
          <w:rFonts w:ascii="Arial" w:hAnsi="Arial" w:cs="Arial"/>
          <w:sz w:val="22"/>
          <w:szCs w:val="22"/>
        </w:rPr>
        <w:tab/>
      </w:r>
      <w:r w:rsidRPr="0008009F">
        <w:rPr>
          <w:rFonts w:ascii="Arial" w:hAnsi="Arial" w:cs="Arial"/>
          <w:sz w:val="22"/>
          <w:szCs w:val="22"/>
        </w:rPr>
        <w:tab/>
      </w:r>
      <w:r w:rsidRPr="0008009F">
        <w:rPr>
          <w:rFonts w:ascii="Arial" w:hAnsi="Arial" w:cs="Arial"/>
          <w:sz w:val="22"/>
          <w:szCs w:val="22"/>
        </w:rPr>
        <w:tab/>
        <w:t xml:space="preserve">  </w:t>
      </w:r>
      <w:r w:rsidRPr="0008009F">
        <w:rPr>
          <w:rFonts w:ascii="Arial" w:hAnsi="Arial" w:cs="Arial"/>
          <w:sz w:val="22"/>
          <w:szCs w:val="22"/>
        </w:rPr>
        <w:tab/>
      </w:r>
      <w:r w:rsidRPr="0008009F">
        <w:rPr>
          <w:rFonts w:ascii="Arial" w:hAnsi="Arial" w:cs="Arial"/>
          <w:b/>
          <w:sz w:val="22"/>
          <w:szCs w:val="22"/>
          <w:u w:val="single"/>
        </w:rPr>
        <w:t>70017831</w:t>
      </w:r>
      <w:r w:rsidR="00650D63">
        <w:rPr>
          <w:rFonts w:ascii="Arial" w:hAnsi="Arial" w:cs="Arial"/>
          <w:b/>
          <w:sz w:val="22"/>
          <w:szCs w:val="22"/>
          <w:u w:val="single"/>
        </w:rPr>
        <w:t>4</w:t>
      </w:r>
    </w:p>
    <w:p w14:paraId="7C71A070" w14:textId="77777777" w:rsidR="0008009F" w:rsidRDefault="0008009F" w:rsidP="0008009F">
      <w:pPr>
        <w:rPr>
          <w:sz w:val="22"/>
        </w:rPr>
      </w:pPr>
      <w:r>
        <w:tab/>
      </w:r>
      <w:r>
        <w:tab/>
      </w:r>
      <w:r>
        <w:tab/>
      </w:r>
      <w:r>
        <w:tab/>
      </w:r>
      <w:r>
        <w:tab/>
      </w:r>
      <w:r>
        <w:tab/>
      </w:r>
      <w:r>
        <w:tab/>
      </w:r>
      <w:r>
        <w:tab/>
      </w:r>
      <w:r>
        <w:tab/>
      </w:r>
      <w:r>
        <w:tab/>
      </w:r>
      <w:r>
        <w:tab/>
      </w:r>
      <w:r>
        <w:tab/>
      </w:r>
    </w:p>
    <w:p w14:paraId="2E24E49F" w14:textId="77777777" w:rsidR="001D4B3E" w:rsidRPr="00E4338C" w:rsidRDefault="006D6E77">
      <w:pPr>
        <w:pStyle w:val="Heading"/>
        <w:numPr>
          <w:ilvl w:val="0"/>
          <w:numId w:val="2"/>
        </w:numPr>
        <w:rPr>
          <w:u w:val="single"/>
        </w:rPr>
      </w:pPr>
      <w:r w:rsidRPr="00E4338C">
        <w:rPr>
          <w:u w:val="single"/>
        </w:rPr>
        <w:t>MANAGING AGENCY</w:t>
      </w:r>
    </w:p>
    <w:p w14:paraId="58636C05" w14:textId="77777777" w:rsidR="001D4B3E" w:rsidRDefault="006D6E77">
      <w:pPr>
        <w:pStyle w:val="Body"/>
        <w:numPr>
          <w:ilvl w:val="1"/>
          <w:numId w:val="2"/>
        </w:numPr>
        <w:rPr>
          <w:u w:val="single"/>
          <w:lang w:val="en-US"/>
        </w:rPr>
      </w:pPr>
      <w:r>
        <w:rPr>
          <w:u w:val="single"/>
          <w:lang w:val="en-US"/>
        </w:rPr>
        <w:t>Authority Right to Appoint a Managing Agent</w:t>
      </w:r>
    </w:p>
    <w:p w14:paraId="7933E7DC" w14:textId="77777777" w:rsidR="001D4B3E" w:rsidRDefault="006D6E77">
      <w:pPr>
        <w:pStyle w:val="Body"/>
        <w:numPr>
          <w:ilvl w:val="2"/>
          <w:numId w:val="2"/>
        </w:numPr>
      </w:pPr>
      <w:r>
        <w:rPr>
          <w:lang w:val="en-US"/>
        </w:rPr>
        <w:t>Notwithstanding any provisions to the contrary in the Contract or in any other agreement between the Parties, at any time during the term the Authority may appoint a third party to manage and operate all or any part of this Contract for and on behalf of the Authority and to give directions to the Contractor as the Authority</w:t>
      </w:r>
      <w:r>
        <w:rPr>
          <w:rtl/>
        </w:rPr>
        <w:t>’</w:t>
      </w:r>
      <w:r>
        <w:rPr>
          <w:lang w:val="en-US"/>
        </w:rPr>
        <w:t>s managing agent (the “Managing Agent</w:t>
      </w:r>
      <w:r>
        <w:t>”</w:t>
      </w:r>
      <w:r>
        <w:rPr>
          <w:lang w:val="en-US"/>
        </w:rPr>
        <w:t>), within the scope of its authority notified to the Contractor pursuant to clause [1.1.3]  below.</w:t>
      </w:r>
    </w:p>
    <w:p w14:paraId="5752E047" w14:textId="77777777" w:rsidR="001D4B3E" w:rsidRDefault="006D6E77">
      <w:pPr>
        <w:pStyle w:val="Body"/>
        <w:numPr>
          <w:ilvl w:val="2"/>
          <w:numId w:val="2"/>
        </w:numPr>
      </w:pPr>
      <w:r>
        <w:rPr>
          <w:lang w:val="en-US"/>
        </w:rPr>
        <w:t>The appointment of the Managing Agent shall be at the sole discretion of the Authority notwithstanding any provisions to the contrary.</w:t>
      </w:r>
    </w:p>
    <w:p w14:paraId="2172D94A" w14:textId="77777777" w:rsidR="001D4B3E" w:rsidRDefault="006D6E77">
      <w:pPr>
        <w:pStyle w:val="Body"/>
        <w:numPr>
          <w:ilvl w:val="2"/>
          <w:numId w:val="2"/>
        </w:numPr>
      </w:pPr>
      <w:r>
        <w:rPr>
          <w:lang w:val="en-US"/>
        </w:rPr>
        <w:t>The Authority shall notify the Contractor of the scope of the Managing Agent</w:t>
      </w:r>
      <w:r>
        <w:rPr>
          <w:rtl/>
        </w:rPr>
        <w:t>’</w:t>
      </w:r>
      <w:r>
        <w:rPr>
          <w:lang w:val="en-US"/>
        </w:rPr>
        <w:t>s authority.</w:t>
      </w:r>
    </w:p>
    <w:p w14:paraId="4E06A906" w14:textId="77777777" w:rsidR="001D4B3E" w:rsidRDefault="006D6E77">
      <w:pPr>
        <w:pStyle w:val="Body"/>
        <w:numPr>
          <w:ilvl w:val="2"/>
          <w:numId w:val="2"/>
        </w:numPr>
      </w:pPr>
      <w:r>
        <w:rPr>
          <w:lang w:val="en-US"/>
        </w:rPr>
        <w:t>The Contractor shall, within the limits of the authority notified to it under Condition [1.1.3] treat and deal with and accept the directions and instructions of the Managing Agent as the Authority</w:t>
      </w:r>
      <w:r>
        <w:rPr>
          <w:rtl/>
        </w:rPr>
        <w:t>’</w:t>
      </w:r>
      <w:r>
        <w:rPr>
          <w:lang w:val="en-US"/>
        </w:rPr>
        <w:t>s agent for the duration of such appointment.</w:t>
      </w:r>
    </w:p>
    <w:p w14:paraId="708F2D68" w14:textId="611417DF" w:rsidR="001D4B3E" w:rsidRDefault="006D6E77">
      <w:pPr>
        <w:pStyle w:val="Body"/>
        <w:numPr>
          <w:ilvl w:val="2"/>
          <w:numId w:val="2"/>
        </w:numPr>
      </w:pPr>
      <w:r>
        <w:rPr>
          <w:lang w:val="en-US"/>
        </w:rPr>
        <w:t>Notwithstanding anything else in this clause</w:t>
      </w:r>
      <w:r>
        <w:rPr>
          <w:lang w:val="pt-PT"/>
        </w:rPr>
        <w:t xml:space="preserve"> [1</w:t>
      </w:r>
      <w:r>
        <w:rPr>
          <w:lang w:val="en-US"/>
        </w:rPr>
        <w:t>.1], the Managing Agent shall not have the authority to amend the terms or conditions of this Contract without the written approval of the Authority</w:t>
      </w:r>
      <w:r w:rsidR="005C4038">
        <w:rPr>
          <w:lang w:val="en-US"/>
        </w:rPr>
        <w:t>.</w:t>
      </w:r>
      <w:bookmarkStart w:id="0" w:name="_GoBack"/>
      <w:bookmarkEnd w:id="0"/>
    </w:p>
    <w:p w14:paraId="3FCDF401" w14:textId="77777777" w:rsidR="001D4B3E" w:rsidRDefault="006D6E77">
      <w:pPr>
        <w:pStyle w:val="Body"/>
        <w:numPr>
          <w:ilvl w:val="1"/>
          <w:numId w:val="2"/>
        </w:numPr>
        <w:rPr>
          <w:u w:val="single"/>
          <w:lang w:val="en-US"/>
        </w:rPr>
      </w:pPr>
      <w:r>
        <w:rPr>
          <w:u w:val="single"/>
          <w:lang w:val="en-US"/>
        </w:rPr>
        <w:t xml:space="preserve">Authority Right to Disclose Commercially Sensitive Information to the Managing Agent </w:t>
      </w:r>
    </w:p>
    <w:p w14:paraId="5B16A2B4" w14:textId="77777777" w:rsidR="001D4B3E" w:rsidRDefault="006D6E77">
      <w:pPr>
        <w:pStyle w:val="Body"/>
        <w:numPr>
          <w:ilvl w:val="2"/>
          <w:numId w:val="2"/>
        </w:numPr>
      </w:pPr>
      <w:r>
        <w:rPr>
          <w:lang w:val="en-US"/>
        </w:rPr>
        <w:t>Notwithstanding any provisions to the contrary in this Agreement (or any other agreement) or the provisions of DEFCON 531 (if applicable) the Authority may disclose the whole or any part of this Contract to the Managing Agent, including (without limitation) any relevant confidential and/or commercially sensitive information.</w:t>
      </w:r>
    </w:p>
    <w:p w14:paraId="0E6CB327" w14:textId="77777777" w:rsidR="001D4B3E" w:rsidRDefault="006D6E77">
      <w:pPr>
        <w:pStyle w:val="Body"/>
        <w:numPr>
          <w:ilvl w:val="2"/>
          <w:numId w:val="2"/>
        </w:numPr>
      </w:pPr>
      <w:r>
        <w:rPr>
          <w:lang w:val="en-US"/>
        </w:rPr>
        <w:t>The Contractor shall disclose to the Managing Agent any such information as the Contractor is required to disclose or provide to the Authority, or the Authority has a right to request, in accordance with the terms and conditions of this Contract</w:t>
      </w:r>
      <w:r>
        <w:t xml:space="preserve">. </w:t>
      </w:r>
    </w:p>
    <w:p w14:paraId="7B2197E3" w14:textId="77777777" w:rsidR="001D4B3E" w:rsidRDefault="006D6E77">
      <w:pPr>
        <w:pStyle w:val="Body"/>
        <w:numPr>
          <w:ilvl w:val="2"/>
          <w:numId w:val="2"/>
        </w:numPr>
      </w:pPr>
      <w:r>
        <w:rPr>
          <w:lang w:val="en-US"/>
        </w:rPr>
        <w:t xml:space="preserve">Where the consent of any third party is required before confidential information can be disclosed to the Managing Agent, the Contractor shall use its best </w:t>
      </w:r>
      <w:proofErr w:type="spellStart"/>
      <w:r>
        <w:rPr>
          <w:lang w:val="en-US"/>
        </w:rPr>
        <w:t>endeavours</w:t>
      </w:r>
      <w:proofErr w:type="spellEnd"/>
      <w:r>
        <w:rPr>
          <w:lang w:val="en-US"/>
        </w:rPr>
        <w:t xml:space="preserve"> to obtain such consent. </w:t>
      </w:r>
    </w:p>
    <w:p w14:paraId="52CCCC8F" w14:textId="77777777" w:rsidR="001D4B3E" w:rsidRDefault="006D6E77" w:rsidP="0008009F">
      <w:pPr>
        <w:pStyle w:val="Body"/>
        <w:numPr>
          <w:ilvl w:val="1"/>
          <w:numId w:val="2"/>
        </w:numPr>
      </w:pPr>
      <w:r>
        <w:rPr>
          <w:lang w:val="en-US"/>
        </w:rPr>
        <w:t>There shall be no increase in the agreed contract prices or additional sums payable by the Authority arising out of or in connection with the appointment by the Authority of a Managing Agent pursuant to this Condition [1] except in relation to any necessary administration costs. The Contractor shall only be entitled to claim such costs to the extent necessary to put it in no better or worse a position than if the appointment of a Managing Agent had not taken place.</w:t>
      </w:r>
    </w:p>
    <w:sectPr w:rsidR="001D4B3E">
      <w:headerReference w:type="default" r:id="rId7"/>
      <w:footerReference w:type="default" r:id="rId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22D47" w14:textId="77777777" w:rsidR="000E0A2D" w:rsidRDefault="000E0A2D">
      <w:r>
        <w:separator/>
      </w:r>
    </w:p>
  </w:endnote>
  <w:endnote w:type="continuationSeparator" w:id="0">
    <w:p w14:paraId="6B50DBA3" w14:textId="77777777" w:rsidR="000E0A2D" w:rsidRDefault="000E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F Pro Text Regular">
    <w:altName w:val="Cambria"/>
    <w:charset w:val="00"/>
    <w:family w:val="roman"/>
    <w:pitch w:val="default"/>
  </w:font>
  <w:font w:name="SF Pro Text 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DBF7E" w14:textId="77777777" w:rsidR="001D4B3E" w:rsidRDefault="001D4B3E">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CC526" w14:textId="77777777" w:rsidR="000E0A2D" w:rsidRDefault="000E0A2D">
      <w:r>
        <w:separator/>
      </w:r>
    </w:p>
  </w:footnote>
  <w:footnote w:type="continuationSeparator" w:id="0">
    <w:p w14:paraId="58F0D3B7" w14:textId="77777777" w:rsidR="000E0A2D" w:rsidRDefault="000E0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17090" w14:textId="77777777" w:rsidR="001D4B3E" w:rsidRDefault="001D4B3E">
    <w:pPr>
      <w:pStyle w:val="HeaderFoot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A554E"/>
    <w:multiLevelType w:val="multilevel"/>
    <w:tmpl w:val="9866F0EA"/>
    <w:numStyleLink w:val="Numbered"/>
  </w:abstractNum>
  <w:abstractNum w:abstractNumId="1"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08009F"/>
    <w:rsid w:val="000E0A2D"/>
    <w:rsid w:val="001D4B3E"/>
    <w:rsid w:val="005C4038"/>
    <w:rsid w:val="005D6221"/>
    <w:rsid w:val="005E5D51"/>
    <w:rsid w:val="00650D63"/>
    <w:rsid w:val="006C4409"/>
    <w:rsid w:val="006D6E77"/>
    <w:rsid w:val="008D2199"/>
    <w:rsid w:val="00C37C7F"/>
    <w:rsid w:val="00E4338C"/>
    <w:rsid w:val="00F44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0E36E"/>
  <w15:docId w15:val="{E4738740-2C9E-4D4B-8CC3-050D6DF6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lang w:val="en-US" w:eastAsia="en-US"/>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customStyle="1" w:styleId="Heading">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customStyle="1" w:styleId="Body">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customStyle="1" w:styleId="Numbered">
    <w:name w:val="Number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68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20F4CD-46B3-407C-803E-00B778DF55DA}"/>
</file>

<file path=customXml/itemProps2.xml><?xml version="1.0" encoding="utf-8"?>
<ds:datastoreItem xmlns:ds="http://schemas.openxmlformats.org/officeDocument/2006/customXml" ds:itemID="{8E962137-1F63-4C7C-9447-A1D6AAA64FE1}"/>
</file>

<file path=customXml/itemProps3.xml><?xml version="1.0" encoding="utf-8"?>
<ds:datastoreItem xmlns:ds="http://schemas.openxmlformats.org/officeDocument/2006/customXml" ds:itemID="{6311DF87-CDF1-4E78-8337-F43A706F59BB}"/>
</file>

<file path=docProps/app.xml><?xml version="1.0" encoding="utf-8"?>
<Properties xmlns="http://schemas.openxmlformats.org/officeDocument/2006/extended-properties" xmlns:vt="http://schemas.openxmlformats.org/officeDocument/2006/docPropsVTypes">
  <Template>Normal</Template>
  <TotalTime>5</TotalTime>
  <Pages>1</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Samuel  (DES LE STSP-Comrcl-Mgr1)</dc:creator>
  <cp:lastModifiedBy>Ireland, John Mr</cp:lastModifiedBy>
  <cp:revision>7</cp:revision>
  <dcterms:created xsi:type="dcterms:W3CDTF">2020-01-09T11:55:00Z</dcterms:created>
  <dcterms:modified xsi:type="dcterms:W3CDTF">2020-08-10T11:31:00Z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